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2026-0533-67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Landschaftsbauarbeiten - Sanierungsmaßnahmen an sieben städtischen Kindertageseinrichtungen - KiTa Sanierung 2026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Rückbau und Austausch von Spielgeräten und Einrichtungsgegenständen, Befestigungsarbeiten in geringem Umfang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